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CA436" w14:textId="77777777" w:rsidR="006123F1" w:rsidRPr="006123F1" w:rsidRDefault="006123F1" w:rsidP="006123F1">
      <w:pPr>
        <w:jc w:val="center"/>
        <w:rPr>
          <w:b/>
          <w:bCs/>
          <w:sz w:val="40"/>
          <w:szCs w:val="40"/>
          <w:u w:val="single"/>
        </w:rPr>
      </w:pPr>
      <w:r w:rsidRPr="006123F1">
        <w:rPr>
          <w:b/>
          <w:bCs/>
          <w:sz w:val="40"/>
          <w:szCs w:val="40"/>
          <w:u w:val="single"/>
        </w:rPr>
        <w:t>PUBLIC PROCUREMENT PROCESS IN GHANA</w:t>
      </w:r>
    </w:p>
    <w:p w14:paraId="30148143" w14:textId="77777777" w:rsidR="006123F1" w:rsidRPr="006123F1" w:rsidRDefault="006123F1" w:rsidP="006123F1">
      <w:pPr>
        <w:spacing w:line="480" w:lineRule="auto"/>
      </w:pPr>
      <w:r w:rsidRPr="006123F1">
        <w:t>Aligned with the Public Procurement Act, 2003 (Act 663) and the Public Procurement (Amendment) Act, 2016 (Act 914)</w:t>
      </w:r>
      <w:r w:rsidRPr="006123F1">
        <w:br/>
        <w:t xml:space="preserve">1. </w:t>
      </w:r>
      <w:r w:rsidRPr="006123F1">
        <w:rPr>
          <w:b/>
          <w:bCs/>
          <w:u w:val="single"/>
        </w:rPr>
        <w:t xml:space="preserve">NEEDS IDENTIFICATION </w:t>
      </w:r>
      <w:bookmarkStart w:id="0" w:name="_Hlk217030439"/>
      <w:r w:rsidRPr="006123F1">
        <w:rPr>
          <w:b/>
          <w:bCs/>
          <w:u w:val="single"/>
        </w:rPr>
        <w:t xml:space="preserve">(ACT 663, </w:t>
      </w:r>
      <w:bookmarkStart w:id="1" w:name="_Hlk217028696"/>
      <w:r w:rsidRPr="006123F1">
        <w:rPr>
          <w:b/>
          <w:bCs/>
          <w:u w:val="single"/>
        </w:rPr>
        <w:t xml:space="preserve">AS AMENDED, </w:t>
      </w:r>
      <w:bookmarkEnd w:id="1"/>
      <w:r w:rsidRPr="006123F1">
        <w:rPr>
          <w:b/>
          <w:bCs/>
          <w:u w:val="single"/>
        </w:rPr>
        <w:t>SECTION 21):</w:t>
      </w:r>
      <w:bookmarkEnd w:id="0"/>
      <w:r w:rsidRPr="006123F1">
        <w:br/>
        <w:t>The procurement process begins with the identification of a legitimate need by a procuring entity. This need must align with the entity’s approved work plan, mandate, and development objectives. Procurement shall only be initiated where it is determined to be the most efficient means of meeting the identified need.</w:t>
      </w:r>
    </w:p>
    <w:p w14:paraId="1DAFB26C" w14:textId="77777777" w:rsidR="006123F1" w:rsidRPr="006123F1" w:rsidRDefault="006123F1" w:rsidP="006123F1">
      <w:pPr>
        <w:spacing w:line="480" w:lineRule="auto"/>
      </w:pPr>
      <w:r w:rsidRPr="006123F1">
        <w:t xml:space="preserve">2. </w:t>
      </w:r>
      <w:r w:rsidRPr="006123F1">
        <w:rPr>
          <w:b/>
          <w:bCs/>
          <w:u w:val="single"/>
        </w:rPr>
        <w:t xml:space="preserve">SPECIFICATION DEVELOPMENT </w:t>
      </w:r>
      <w:bookmarkStart w:id="2" w:name="_Hlk217030514"/>
      <w:r w:rsidRPr="006123F1">
        <w:rPr>
          <w:b/>
          <w:bCs/>
          <w:u w:val="single"/>
        </w:rPr>
        <w:t>(ACT 663, AS AMENDED, SECTION 34):</w:t>
      </w:r>
      <w:bookmarkEnd w:id="2"/>
      <w:r w:rsidRPr="006123F1">
        <w:rPr>
          <w:b/>
          <w:bCs/>
        </w:rPr>
        <w:br/>
      </w:r>
      <w:r w:rsidRPr="006123F1">
        <w:t>The procuring entity prepares clear, accurate, and non-discriminatory specifications describing the technical and functional requirements of the goods, works, or services. Specifications must not favor any supplier or contractor.</w:t>
      </w:r>
    </w:p>
    <w:p w14:paraId="785C8CDB" w14:textId="77777777" w:rsidR="006123F1" w:rsidRPr="006123F1" w:rsidRDefault="006123F1" w:rsidP="006123F1">
      <w:pPr>
        <w:spacing w:line="480" w:lineRule="auto"/>
      </w:pPr>
      <w:r w:rsidRPr="006123F1">
        <w:t xml:space="preserve">3. </w:t>
      </w:r>
      <w:r w:rsidRPr="006123F1">
        <w:rPr>
          <w:b/>
          <w:bCs/>
          <w:u w:val="single"/>
        </w:rPr>
        <w:t>COST ESTIMATION AND BUDGET APPROVAL (ACT 663, AS AMENDED, SECTIONS 21 &amp; 48):</w:t>
      </w:r>
      <w:r w:rsidRPr="006123F1">
        <w:rPr>
          <w:b/>
          <w:bCs/>
        </w:rPr>
        <w:br/>
      </w:r>
      <w:r w:rsidRPr="006123F1">
        <w:t>A realistic cost estimate is prepared based on prevailing market conditions. Procurement shall not proceed unless funds are approved and available, in compliance with public financial management regulations.</w:t>
      </w:r>
    </w:p>
    <w:p w14:paraId="1194B389" w14:textId="77777777" w:rsidR="006123F1" w:rsidRPr="006123F1" w:rsidRDefault="006123F1" w:rsidP="006123F1">
      <w:pPr>
        <w:spacing w:line="480" w:lineRule="auto"/>
      </w:pPr>
      <w:r w:rsidRPr="006123F1">
        <w:t xml:space="preserve">4. </w:t>
      </w:r>
      <w:r w:rsidRPr="006123F1">
        <w:rPr>
          <w:b/>
          <w:bCs/>
          <w:u w:val="single"/>
        </w:rPr>
        <w:t>PROCUREMENT PLANNING (ACT 663, AS AMENDED, SECTION 21; ACT 914):</w:t>
      </w:r>
      <w:r w:rsidRPr="006123F1">
        <w:rPr>
          <w:b/>
          <w:bCs/>
          <w:u w:val="single"/>
        </w:rPr>
        <w:br/>
      </w:r>
      <w:r w:rsidRPr="006123F1">
        <w:t>An annual procurement plan is prepared, detailing procurement methods, timelines, funding sources, and approving authorities based on threshold limits prescribed by the Public Procurement Authority.</w:t>
      </w:r>
    </w:p>
    <w:p w14:paraId="10B8398F" w14:textId="77777777" w:rsidR="006123F1" w:rsidRPr="006123F1" w:rsidRDefault="006123F1" w:rsidP="006123F1">
      <w:pPr>
        <w:spacing w:line="480" w:lineRule="auto"/>
      </w:pPr>
      <w:r w:rsidRPr="006123F1">
        <w:lastRenderedPageBreak/>
        <w:t xml:space="preserve">5. </w:t>
      </w:r>
      <w:r w:rsidRPr="006123F1">
        <w:rPr>
          <w:b/>
          <w:bCs/>
          <w:u w:val="single"/>
        </w:rPr>
        <w:t>SELECTION OF PROCUREMENT METHOD (ACT 663, AS AMENDED, SECTIONS 35–40):</w:t>
      </w:r>
      <w:r w:rsidRPr="006123F1">
        <w:rPr>
          <w:b/>
          <w:bCs/>
        </w:rPr>
        <w:br/>
      </w:r>
      <w:r w:rsidRPr="006123F1">
        <w:t>Procurement methods include National Competitive Tendering, International Competitive Tendering, Restricted Tendering, Request for Quotations, and Single-Source Procurement, selected based on thresholds and circumstances.</w:t>
      </w:r>
    </w:p>
    <w:p w14:paraId="0684CB90" w14:textId="77777777" w:rsidR="006123F1" w:rsidRPr="006123F1" w:rsidRDefault="006123F1" w:rsidP="006123F1">
      <w:pPr>
        <w:spacing w:line="480" w:lineRule="auto"/>
      </w:pPr>
      <w:r w:rsidRPr="006123F1">
        <w:t xml:space="preserve">6. </w:t>
      </w:r>
      <w:r w:rsidRPr="006123F1">
        <w:rPr>
          <w:b/>
          <w:bCs/>
          <w:u w:val="single"/>
        </w:rPr>
        <w:t>INVITATION, SUBMISSION, AND OPENING OF TENDERS (ACT 663, AS AMENDED, SECTIONS 47–56):</w:t>
      </w:r>
      <w:r w:rsidRPr="006123F1">
        <w:br/>
        <w:t>Invitations are issued publicly. Bids are submitted within specified deadlines and opened publicly to ensure transparency and fairness.</w:t>
      </w:r>
    </w:p>
    <w:p w14:paraId="2F821806" w14:textId="77777777" w:rsidR="006123F1" w:rsidRPr="006123F1" w:rsidRDefault="006123F1" w:rsidP="006123F1">
      <w:pPr>
        <w:spacing w:line="480" w:lineRule="auto"/>
      </w:pPr>
      <w:r w:rsidRPr="006123F1">
        <w:t xml:space="preserve">7. </w:t>
      </w:r>
      <w:r w:rsidRPr="006123F1">
        <w:rPr>
          <w:b/>
          <w:bCs/>
          <w:u w:val="single"/>
        </w:rPr>
        <w:t>EVALUATION OF TENDERS (ACT 663, AS AMENDED, SECTIONS 59–65):</w:t>
      </w:r>
      <w:r w:rsidRPr="006123F1">
        <w:rPr>
          <w:b/>
          <w:bCs/>
        </w:rPr>
        <w:br/>
      </w:r>
      <w:r w:rsidRPr="006123F1">
        <w:t>An evaluation committee assesses tenders using predefined criteria, focusing on technical responsiveness, financial competitiveness, and qualifications, culminating in an evaluation report.</w:t>
      </w:r>
    </w:p>
    <w:p w14:paraId="2CE06750" w14:textId="77777777" w:rsidR="006123F1" w:rsidRPr="006123F1" w:rsidRDefault="006123F1" w:rsidP="006123F1">
      <w:pPr>
        <w:spacing w:line="480" w:lineRule="auto"/>
      </w:pPr>
      <w:r w:rsidRPr="006123F1">
        <w:t xml:space="preserve">8. </w:t>
      </w:r>
      <w:r w:rsidRPr="006123F1">
        <w:rPr>
          <w:b/>
          <w:bCs/>
          <w:u w:val="single"/>
        </w:rPr>
        <w:t>CONTRACT AWARD AND APPROVAL (ACT 663, AS AMENDED (ACT 914), SECTION 65):</w:t>
      </w:r>
      <w:r w:rsidRPr="006123F1">
        <w:br/>
        <w:t>Contracts are awarded to the Most Economically Advantageous Tender (MEAT) subject to approval by the appropriate authority in line with threshold limits.</w:t>
      </w:r>
    </w:p>
    <w:p w14:paraId="37E82654" w14:textId="77777777" w:rsidR="006123F1" w:rsidRPr="006123F1" w:rsidRDefault="006123F1" w:rsidP="006123F1">
      <w:pPr>
        <w:spacing w:line="480" w:lineRule="auto"/>
      </w:pPr>
      <w:r w:rsidRPr="006123F1">
        <w:t xml:space="preserve">9. </w:t>
      </w:r>
      <w:r w:rsidRPr="006123F1">
        <w:rPr>
          <w:b/>
          <w:bCs/>
          <w:u w:val="single"/>
        </w:rPr>
        <w:t xml:space="preserve">CONTRACT SIGNING AND DOCUMENTATION (ACT 663, </w:t>
      </w:r>
      <w:bookmarkStart w:id="3" w:name="_Hlk217028894"/>
      <w:r w:rsidRPr="006123F1">
        <w:rPr>
          <w:b/>
          <w:bCs/>
          <w:u w:val="single"/>
        </w:rPr>
        <w:t>AS AMENDED</w:t>
      </w:r>
      <w:bookmarkEnd w:id="3"/>
      <w:r w:rsidRPr="006123F1">
        <w:rPr>
          <w:b/>
          <w:bCs/>
          <w:u w:val="single"/>
        </w:rPr>
        <w:t>, SECTION 68):</w:t>
      </w:r>
      <w:r w:rsidRPr="006123F1">
        <w:rPr>
          <w:b/>
          <w:bCs/>
        </w:rPr>
        <w:br/>
      </w:r>
      <w:r w:rsidRPr="006123F1">
        <w:t>A formal written contract is executed, outlining scope, price, timelines, payment terms, and dispute resolution mechanisms.</w:t>
      </w:r>
    </w:p>
    <w:p w14:paraId="60133C2E" w14:textId="77777777" w:rsidR="006123F1" w:rsidRPr="006123F1" w:rsidRDefault="006123F1" w:rsidP="006123F1">
      <w:pPr>
        <w:spacing w:line="480" w:lineRule="auto"/>
      </w:pPr>
      <w:r w:rsidRPr="006123F1">
        <w:t xml:space="preserve">10. </w:t>
      </w:r>
      <w:r w:rsidRPr="006123F1">
        <w:rPr>
          <w:b/>
          <w:bCs/>
          <w:u w:val="single"/>
        </w:rPr>
        <w:t>CONTRACT MANAGEMENT AND SUPERVISION (ACT 663, AS AMENDED SECTION 73):</w:t>
      </w:r>
      <w:r w:rsidRPr="006123F1">
        <w:br/>
        <w:t>The procuring entity monitors contractor performance to ensure compliance with contractual obligations, quality standards, and delivery schedules.</w:t>
      </w:r>
    </w:p>
    <w:p w14:paraId="5CF89E7B" w14:textId="77777777" w:rsidR="006123F1" w:rsidRPr="006123F1" w:rsidRDefault="006123F1" w:rsidP="006123F1">
      <w:pPr>
        <w:spacing w:line="480" w:lineRule="auto"/>
      </w:pPr>
      <w:r w:rsidRPr="006123F1">
        <w:lastRenderedPageBreak/>
        <w:t xml:space="preserve">11. </w:t>
      </w:r>
      <w:r w:rsidRPr="006123F1">
        <w:rPr>
          <w:b/>
          <w:bCs/>
          <w:u w:val="single"/>
        </w:rPr>
        <w:t>INSPECTION, ACCEPTANCE, AND PAYMENT (ACT 663, AS AMENDED SECTIONS 73 &amp; 74):</w:t>
      </w:r>
      <w:r w:rsidRPr="006123F1">
        <w:br/>
        <w:t>Delivered goods, works, or services are inspected before acceptance. Payments are processed only after confirmation of satisfactory performance.</w:t>
      </w:r>
    </w:p>
    <w:p w14:paraId="48E4B27E" w14:textId="77777777" w:rsidR="006123F1" w:rsidRPr="006123F1" w:rsidRDefault="006123F1" w:rsidP="006123F1">
      <w:pPr>
        <w:spacing w:line="480" w:lineRule="auto"/>
      </w:pPr>
      <w:r w:rsidRPr="006123F1">
        <w:t xml:space="preserve">12. </w:t>
      </w:r>
      <w:r w:rsidRPr="006123F1">
        <w:rPr>
          <w:b/>
          <w:bCs/>
          <w:u w:val="single"/>
        </w:rPr>
        <w:t>ASSET RECORDING AND MANAGEMENT (ACT 663, AS AMENDED, SECTION 83):</w:t>
      </w:r>
      <w:r w:rsidRPr="006123F1">
        <w:rPr>
          <w:b/>
          <w:bCs/>
        </w:rPr>
        <w:br/>
      </w:r>
      <w:r w:rsidRPr="006123F1">
        <w:t>All procured assets are recorded in the asset register and managed in accordance with public asset management regulations.</w:t>
      </w:r>
    </w:p>
    <w:p w14:paraId="08A07580" w14:textId="77777777" w:rsidR="006123F1" w:rsidRPr="006123F1" w:rsidRDefault="006123F1" w:rsidP="006123F1">
      <w:pPr>
        <w:spacing w:line="480" w:lineRule="auto"/>
      </w:pPr>
      <w:r w:rsidRPr="006123F1">
        <w:t xml:space="preserve">13. </w:t>
      </w:r>
      <w:r w:rsidRPr="006123F1">
        <w:rPr>
          <w:b/>
          <w:bCs/>
          <w:u w:val="single"/>
        </w:rPr>
        <w:t>DISPOSAL OF STORES AND EQUIPMENT (ACT 663, SECTIONS 82–83)</w:t>
      </w:r>
      <w:r w:rsidRPr="006123F1">
        <w:rPr>
          <w:b/>
          <w:bCs/>
        </w:rPr>
        <w:t>:</w:t>
      </w:r>
      <w:r w:rsidRPr="006123F1">
        <w:rPr>
          <w:b/>
          <w:bCs/>
        </w:rPr>
        <w:br/>
      </w:r>
      <w:r w:rsidRPr="006123F1">
        <w:t>Unserviceable or obsolete assets are disposed of through approved methods such as auction, transfer, or destruction, subject to board of survey’s recommendation and approval by final authority.</w:t>
      </w:r>
    </w:p>
    <w:p w14:paraId="49920181" w14:textId="0EC86E4B" w:rsidR="00FA61CD" w:rsidRDefault="006123F1" w:rsidP="006123F1">
      <w:pPr>
        <w:spacing w:line="480" w:lineRule="auto"/>
      </w:pPr>
      <w:r w:rsidRPr="006123F1">
        <w:rPr>
          <w:b/>
          <w:bCs/>
        </w:rPr>
        <w:t xml:space="preserve">14. </w:t>
      </w:r>
      <w:r w:rsidRPr="006123F1">
        <w:rPr>
          <w:b/>
          <w:bCs/>
          <w:u w:val="single"/>
        </w:rPr>
        <w:t>CONCLUSION</w:t>
      </w:r>
      <w:r w:rsidRPr="006123F1">
        <w:br/>
        <w:t>The Ghana Public Procurement Act provides a comprehensive legal framework to ensure transparency, competition, accountability, and value for money in public procurement. Strict adherence to Act 663 and Act 914 strengthens public financial governance and enhances efficient service delivery.</w:t>
      </w:r>
      <w:r w:rsidRPr="006123F1">
        <w:br/>
      </w:r>
    </w:p>
    <w:sectPr w:rsidR="00FA61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1CD"/>
    <w:rsid w:val="006123F1"/>
    <w:rsid w:val="00D54F53"/>
    <w:rsid w:val="00FA6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2A3987-913A-43CC-891B-4175BB0AE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61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A61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A61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A61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A61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A61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61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61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61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1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61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61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61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61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61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1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1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1CD"/>
    <w:rPr>
      <w:rFonts w:eastAsiaTheme="majorEastAsia" w:cstheme="majorBidi"/>
      <w:color w:val="272727" w:themeColor="text1" w:themeTint="D8"/>
    </w:rPr>
  </w:style>
  <w:style w:type="paragraph" w:styleId="Title">
    <w:name w:val="Title"/>
    <w:basedOn w:val="Normal"/>
    <w:next w:val="Normal"/>
    <w:link w:val="TitleChar"/>
    <w:uiPriority w:val="10"/>
    <w:qFormat/>
    <w:rsid w:val="00FA61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1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1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1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1CD"/>
    <w:pPr>
      <w:spacing w:before="160"/>
      <w:jc w:val="center"/>
    </w:pPr>
    <w:rPr>
      <w:i/>
      <w:iCs/>
      <w:color w:val="404040" w:themeColor="text1" w:themeTint="BF"/>
    </w:rPr>
  </w:style>
  <w:style w:type="character" w:customStyle="1" w:styleId="QuoteChar">
    <w:name w:val="Quote Char"/>
    <w:basedOn w:val="DefaultParagraphFont"/>
    <w:link w:val="Quote"/>
    <w:uiPriority w:val="29"/>
    <w:rsid w:val="00FA61CD"/>
    <w:rPr>
      <w:i/>
      <w:iCs/>
      <w:color w:val="404040" w:themeColor="text1" w:themeTint="BF"/>
    </w:rPr>
  </w:style>
  <w:style w:type="paragraph" w:styleId="ListParagraph">
    <w:name w:val="List Paragraph"/>
    <w:basedOn w:val="Normal"/>
    <w:uiPriority w:val="34"/>
    <w:qFormat/>
    <w:rsid w:val="00FA61CD"/>
    <w:pPr>
      <w:ind w:left="720"/>
      <w:contextualSpacing/>
    </w:pPr>
  </w:style>
  <w:style w:type="character" w:styleId="IntenseEmphasis">
    <w:name w:val="Intense Emphasis"/>
    <w:basedOn w:val="DefaultParagraphFont"/>
    <w:uiPriority w:val="21"/>
    <w:qFormat/>
    <w:rsid w:val="00FA61CD"/>
    <w:rPr>
      <w:i/>
      <w:iCs/>
      <w:color w:val="2F5496" w:themeColor="accent1" w:themeShade="BF"/>
    </w:rPr>
  </w:style>
  <w:style w:type="paragraph" w:styleId="IntenseQuote">
    <w:name w:val="Intense Quote"/>
    <w:basedOn w:val="Normal"/>
    <w:next w:val="Normal"/>
    <w:link w:val="IntenseQuoteChar"/>
    <w:uiPriority w:val="30"/>
    <w:qFormat/>
    <w:rsid w:val="00FA61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A61CD"/>
    <w:rPr>
      <w:i/>
      <w:iCs/>
      <w:color w:val="2F5496" w:themeColor="accent1" w:themeShade="BF"/>
    </w:rPr>
  </w:style>
  <w:style w:type="character" w:styleId="IntenseReference">
    <w:name w:val="Intense Reference"/>
    <w:basedOn w:val="DefaultParagraphFont"/>
    <w:uiPriority w:val="32"/>
    <w:qFormat/>
    <w:rsid w:val="00FA61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564</Words>
  <Characters>3218</Characters>
  <Application>Microsoft Office Word</Application>
  <DocSecurity>0</DocSecurity>
  <Lines>26</Lines>
  <Paragraphs>7</Paragraphs>
  <ScaleCrop>false</ScaleCrop>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2025-12-19T10:23:00Z</dcterms:created>
  <dcterms:modified xsi:type="dcterms:W3CDTF">2025-12-19T10:25:00Z</dcterms:modified>
</cp:coreProperties>
</file>